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91" w:rsidRPr="00E15969" w:rsidRDefault="005A1B91" w:rsidP="005A1B91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Fondements religieux</w:t>
      </w:r>
    </w:p>
    <w:p w:rsidR="005A1B91" w:rsidRDefault="005A1B91" w:rsidP="005A1B91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Secondaire 1</w:t>
      </w:r>
    </w:p>
    <w:p w:rsidR="005A1B91" w:rsidRPr="00E15969" w:rsidRDefault="005A1B91" w:rsidP="005A1B91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Situation d’apprentissage et d’évaluation</w:t>
      </w:r>
    </w:p>
    <w:p w:rsidR="005A1B91" w:rsidRDefault="005A1B91" w:rsidP="005A1B91">
      <w:pPr>
        <w:tabs>
          <w:tab w:val="right" w:pos="10773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 :</w:t>
      </w:r>
      <w:r>
        <w:rPr>
          <w:rFonts w:cs="Calibri"/>
          <w:sz w:val="24"/>
          <w:szCs w:val="24"/>
        </w:rPr>
        <w:tab/>
        <w:t>Groupe : [</w:t>
      </w:r>
      <w:r w:rsidRPr="00C050F6">
        <w:rPr>
          <w:rFonts w:cs="Calibri"/>
          <w:color w:val="833C0B"/>
          <w:sz w:val="24"/>
          <w:szCs w:val="24"/>
        </w:rPr>
        <w:t>*</w:t>
      </w:r>
      <w:r>
        <w:rPr>
          <w:rFonts w:cs="Calibri"/>
          <w:sz w:val="24"/>
          <w:szCs w:val="24"/>
        </w:rPr>
        <w:t>]</w:t>
      </w:r>
    </w:p>
    <w:p w:rsidR="005A1B91" w:rsidRDefault="005A1B91" w:rsidP="005A1B91">
      <w:pPr>
        <w:numPr>
          <w:ilvl w:val="0"/>
          <w:numId w:val="1"/>
        </w:numPr>
        <w:tabs>
          <w:tab w:val="left" w:pos="709"/>
          <w:tab w:val="right" w:pos="8640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 w:rsidRPr="00C050F6">
        <w:rPr>
          <w:rFonts w:cs="Calibri"/>
          <w:color w:val="833C0B"/>
          <w:sz w:val="24"/>
          <w:szCs w:val="24"/>
        </w:rPr>
        <w:t>*</w:t>
      </w:r>
      <w:r>
        <w:rPr>
          <w:rFonts w:cs="Calibri"/>
          <w:sz w:val="24"/>
          <w:szCs w:val="24"/>
        </w:rPr>
        <w:t>]</w:t>
      </w:r>
    </w:p>
    <w:p w:rsidR="005A1B91" w:rsidRDefault="005A1B91" w:rsidP="005A1B91">
      <w:pPr>
        <w:numPr>
          <w:ilvl w:val="0"/>
          <w:numId w:val="1"/>
        </w:numPr>
        <w:tabs>
          <w:tab w:val="left" w:pos="709"/>
          <w:tab w:val="right" w:pos="8640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 w:rsidRPr="00C050F6">
        <w:rPr>
          <w:rFonts w:cs="Calibri"/>
          <w:color w:val="833C0B"/>
          <w:sz w:val="24"/>
          <w:szCs w:val="24"/>
        </w:rPr>
        <w:t>*</w:t>
      </w:r>
      <w:r>
        <w:rPr>
          <w:rFonts w:cs="Calibri"/>
          <w:sz w:val="24"/>
          <w:szCs w:val="24"/>
        </w:rPr>
        <w:t>]</w:t>
      </w:r>
    </w:p>
    <w:p w:rsidR="005A1B91" w:rsidRDefault="005A1B91" w:rsidP="005A1B91">
      <w:pPr>
        <w:numPr>
          <w:ilvl w:val="0"/>
          <w:numId w:val="1"/>
        </w:numPr>
        <w:tabs>
          <w:tab w:val="left" w:pos="709"/>
          <w:tab w:val="right" w:pos="8640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 w:rsidRPr="00C050F6">
        <w:rPr>
          <w:rFonts w:cs="Calibri"/>
          <w:color w:val="833C0B"/>
          <w:sz w:val="24"/>
          <w:szCs w:val="24"/>
        </w:rPr>
        <w:t>*</w:t>
      </w:r>
      <w:r>
        <w:rPr>
          <w:rFonts w:cs="Calibri"/>
          <w:sz w:val="24"/>
          <w:szCs w:val="24"/>
        </w:rPr>
        <w:t>]</w:t>
      </w:r>
    </w:p>
    <w:p w:rsidR="005A1B91" w:rsidRDefault="005A1B91" w:rsidP="005A1B91">
      <w:pPr>
        <w:numPr>
          <w:ilvl w:val="0"/>
          <w:numId w:val="1"/>
        </w:numPr>
        <w:tabs>
          <w:tab w:val="left" w:pos="709"/>
          <w:tab w:val="right" w:pos="864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 w:rsidRPr="00C050F6">
        <w:rPr>
          <w:rFonts w:cs="Calibri"/>
          <w:color w:val="833C0B"/>
          <w:sz w:val="24"/>
          <w:szCs w:val="24"/>
        </w:rPr>
        <w:t>*</w:t>
      </w:r>
      <w:r>
        <w:rPr>
          <w:rFonts w:cs="Calibri"/>
          <w:sz w:val="24"/>
          <w:szCs w:val="24"/>
        </w:rPr>
        <w:t>]</w:t>
      </w:r>
    </w:p>
    <w:p w:rsidR="005A1B91" w:rsidRDefault="005A1B91" w:rsidP="005A1B91">
      <w:pPr>
        <w:numPr>
          <w:ilvl w:val="0"/>
          <w:numId w:val="1"/>
        </w:numPr>
        <w:tabs>
          <w:tab w:val="left" w:pos="142"/>
          <w:tab w:val="right" w:pos="8640"/>
        </w:tabs>
        <w:spacing w:after="0" w:line="360" w:lineRule="auto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Vous pouvez utiliser Internet pour répondre aux questions. Par contre, vous ne pouvez pas copier l’information se trouvant sur Internet : vous devez fournir un lien de vos références. </w:t>
      </w:r>
    </w:p>
    <w:p w:rsidR="005A1B91" w:rsidRDefault="005A1B91" w:rsidP="005A1B91">
      <w:pPr>
        <w:numPr>
          <w:ilvl w:val="0"/>
          <w:numId w:val="1"/>
        </w:numPr>
        <w:tabs>
          <w:tab w:val="left" w:pos="142"/>
          <w:tab w:val="right" w:pos="8640"/>
        </w:tabs>
        <w:spacing w:after="0" w:line="360" w:lineRule="auto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219710</wp:posOffset>
                </wp:positionV>
                <wp:extent cx="235585" cy="407035"/>
                <wp:effectExtent l="6350" t="10795" r="5715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407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A3AA3" id="Oval 2" o:spid="_x0000_s1026" style="position:absolute;margin-left:188pt;margin-top:17.3pt;width:18.5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" filled="f"/>
            </w:pict>
          </mc:Fallback>
        </mc:AlternateContent>
      </w:r>
      <w:r>
        <w:rPr>
          <w:rFonts w:cs="Calibri"/>
          <w:sz w:val="24"/>
          <w:szCs w:val="24"/>
        </w:rPr>
        <w:t xml:space="preserve">Répondez à toutes les questions aux endroits appropriés, c’est-à-dire là où il y a un </w:t>
      </w:r>
      <w:r>
        <w:rPr>
          <w:rFonts w:cs="Calibri"/>
          <w:b/>
          <w:sz w:val="24"/>
          <w:szCs w:val="24"/>
        </w:rPr>
        <w:t>[</w:t>
      </w:r>
      <w:r w:rsidRPr="00C050F6">
        <w:rPr>
          <w:rFonts w:cs="Calibri"/>
          <w:b/>
          <w:color w:val="833C0B"/>
          <w:sz w:val="24"/>
          <w:szCs w:val="24"/>
        </w:rPr>
        <w:t>*</w:t>
      </w:r>
      <w:r>
        <w:rPr>
          <w:rFonts w:cs="Calibri"/>
          <w:b/>
          <w:sz w:val="24"/>
          <w:szCs w:val="24"/>
        </w:rPr>
        <w:t>]</w:t>
      </w:r>
      <w:r>
        <w:rPr>
          <w:rFonts w:cs="Calibri"/>
          <w:sz w:val="24"/>
          <w:szCs w:val="24"/>
        </w:rPr>
        <w:t xml:space="preserve">. </w:t>
      </w:r>
    </w:p>
    <w:p w:rsidR="005A1B91" w:rsidRDefault="005A1B91" w:rsidP="005A1B91">
      <w:pPr>
        <w:numPr>
          <w:ilvl w:val="0"/>
          <w:numId w:val="1"/>
        </w:numPr>
        <w:tabs>
          <w:tab w:val="left" w:pos="142"/>
          <w:tab w:val="right" w:pos="8640"/>
        </w:tabs>
        <w:spacing w:after="0" w:line="360" w:lineRule="auto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Écrivez vos réponses en italique (</w:t>
      </w:r>
      <w:r>
        <w:rPr>
          <w:rFonts w:cs="Calibri"/>
          <w:noProof/>
          <w:sz w:val="24"/>
          <w:szCs w:val="24"/>
          <w:lang w:val="en-US"/>
        </w:rPr>
        <w:drawing>
          <wp:inline distT="0" distB="0" distL="0" distR="0">
            <wp:extent cx="819150" cy="278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</w:rPr>
        <w:t xml:space="preserve">). </w:t>
      </w:r>
    </w:p>
    <w:p w:rsidR="005A1B91" w:rsidRDefault="005A1B91" w:rsidP="005A1B91">
      <w:pPr>
        <w:numPr>
          <w:ilvl w:val="0"/>
          <w:numId w:val="1"/>
        </w:numPr>
        <w:tabs>
          <w:tab w:val="left" w:pos="142"/>
          <w:tab w:val="right" w:pos="8640"/>
        </w:tabs>
        <w:spacing w:after="0" w:line="360" w:lineRule="auto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Votre travail doit être compléter dans le fichier Word (.doc) et envoyé à l’adresse </w:t>
      </w:r>
      <w:r>
        <w:rPr>
          <w:rFonts w:cs="Calibri"/>
          <w:b/>
          <w:sz w:val="24"/>
          <w:szCs w:val="24"/>
        </w:rPr>
        <w:t>jeana6@educ.csdn.qc.ca</w:t>
      </w:r>
      <w:r>
        <w:rPr>
          <w:rFonts w:cs="Calibri"/>
          <w:sz w:val="24"/>
          <w:szCs w:val="24"/>
        </w:rPr>
        <w:t xml:space="preserve"> avec l’objet </w:t>
      </w:r>
      <w:r>
        <w:rPr>
          <w:rFonts w:cs="Calibri"/>
          <w:b/>
          <w:sz w:val="24"/>
          <w:szCs w:val="24"/>
        </w:rPr>
        <w:t>SAE</w:t>
      </w:r>
      <w:r>
        <w:rPr>
          <w:rFonts w:cs="Calibri"/>
          <w:sz w:val="24"/>
          <w:szCs w:val="24"/>
        </w:rPr>
        <w:t xml:space="preserve">. </w:t>
      </w:r>
    </w:p>
    <w:p w:rsidR="005A1B91" w:rsidRDefault="005A1B91" w:rsidP="005A1B91">
      <w:pPr>
        <w:numPr>
          <w:ilvl w:val="0"/>
          <w:numId w:val="1"/>
        </w:numPr>
        <w:tabs>
          <w:tab w:val="left" w:pos="142"/>
          <w:tab w:val="right" w:pos="8640"/>
        </w:tabs>
        <w:spacing w:after="0" w:line="360" w:lineRule="auto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Changer le titre de votre document pour y inclure votre numéro de groupe puis vos initiales.</w:t>
      </w:r>
    </w:p>
    <w:p w:rsidR="005A1B91" w:rsidRDefault="005A1B91" w:rsidP="005A1B91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 exemple, une équipe du groupe 24 constituée de Delphine </w:t>
      </w:r>
      <w:proofErr w:type="spellStart"/>
      <w:r>
        <w:rPr>
          <w:rFonts w:cs="Calibri"/>
          <w:sz w:val="24"/>
          <w:szCs w:val="24"/>
        </w:rPr>
        <w:t>Quenneville</w:t>
      </w:r>
      <w:proofErr w:type="spellEnd"/>
      <w:r>
        <w:rPr>
          <w:rFonts w:cs="Calibri"/>
          <w:sz w:val="24"/>
          <w:szCs w:val="24"/>
        </w:rPr>
        <w:t xml:space="preserve">, Jessica </w:t>
      </w:r>
      <w:proofErr w:type="spellStart"/>
      <w:r>
        <w:rPr>
          <w:rFonts w:cs="Calibri"/>
          <w:sz w:val="24"/>
          <w:szCs w:val="24"/>
        </w:rPr>
        <w:t>Després</w:t>
      </w:r>
      <w:proofErr w:type="spellEnd"/>
      <w:r>
        <w:rPr>
          <w:rFonts w:cs="Calibri"/>
          <w:sz w:val="24"/>
          <w:szCs w:val="24"/>
        </w:rPr>
        <w:t xml:space="preserve">, Roger Tremblay et Alexandre Jean nommerait leur document de la sorte : </w:t>
      </w:r>
      <w:r w:rsidRPr="00420F71">
        <w:rPr>
          <w:rFonts w:cs="Calibri"/>
          <w:b/>
          <w:sz w:val="24"/>
          <w:szCs w:val="24"/>
        </w:rPr>
        <w:t>24_</w:t>
      </w:r>
      <w:r>
        <w:rPr>
          <w:rFonts w:cs="Calibri"/>
          <w:b/>
          <w:sz w:val="24"/>
          <w:szCs w:val="24"/>
        </w:rPr>
        <w:t>DQ_JD_RT_AJ</w:t>
      </w:r>
      <w:r>
        <w:rPr>
          <w:rFonts w:cs="Calibri"/>
          <w:sz w:val="24"/>
          <w:szCs w:val="24"/>
        </w:rPr>
        <w:t>.</w:t>
      </w:r>
    </w:p>
    <w:p w:rsidR="005A1B91" w:rsidRDefault="005A1B91">
      <w:pPr>
        <w:spacing w:after="160" w:line="259" w:lineRule="auto"/>
      </w:pPr>
      <w:r>
        <w:br w:type="page"/>
      </w:r>
    </w:p>
    <w:p w:rsidR="005A1B91" w:rsidRDefault="005A1B91" w:rsidP="005A1B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Sur le site Internet du cours, consultez les objets à propos de la croyance, être surhumain, mythe, rite et fête. Présentez un objet par concept dans vos propres mots, c’est-à-dire comme si vous l’expliquiez à quelqu’un qui ne l’a pas vue.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00"/>
        <w:gridCol w:w="6655"/>
      </w:tblGrid>
      <w:tr w:rsidR="005A1B91" w:rsidTr="005A1B91">
        <w:tc>
          <w:tcPr>
            <w:tcW w:w="1795" w:type="dxa"/>
          </w:tcPr>
          <w:p w:rsidR="005A1B91" w:rsidRPr="005A1B91" w:rsidRDefault="005A1B91" w:rsidP="005A1B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1B91">
              <w:rPr>
                <w:b/>
                <w:sz w:val="24"/>
                <w:szCs w:val="24"/>
              </w:rPr>
              <w:t>Concept</w:t>
            </w:r>
          </w:p>
        </w:tc>
        <w:tc>
          <w:tcPr>
            <w:tcW w:w="900" w:type="dxa"/>
          </w:tcPr>
          <w:p w:rsidR="005A1B91" w:rsidRPr="005A1B91" w:rsidRDefault="005A1B91" w:rsidP="005A1B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1B91">
              <w:rPr>
                <w:b/>
                <w:sz w:val="24"/>
                <w:szCs w:val="24"/>
              </w:rPr>
              <w:t>Objet choisit</w:t>
            </w:r>
          </w:p>
        </w:tc>
        <w:tc>
          <w:tcPr>
            <w:tcW w:w="6655" w:type="dxa"/>
          </w:tcPr>
          <w:p w:rsidR="005A1B91" w:rsidRPr="005A1B91" w:rsidRDefault="005A1B91" w:rsidP="005A1B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1B91">
              <w:rPr>
                <w:b/>
                <w:sz w:val="24"/>
                <w:szCs w:val="24"/>
              </w:rPr>
              <w:t>Explication</w:t>
            </w:r>
          </w:p>
        </w:tc>
      </w:tr>
      <w:tr w:rsidR="005A1B91" w:rsidTr="005A1B91">
        <w:trPr>
          <w:trHeight w:val="350"/>
        </w:trPr>
        <w:tc>
          <w:tcPr>
            <w:tcW w:w="1795" w:type="dxa"/>
          </w:tcPr>
          <w:p w:rsidR="005A1B91" w:rsidRDefault="005A1B91" w:rsidP="005A1B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Croyance</w:t>
            </w:r>
          </w:p>
        </w:tc>
        <w:tc>
          <w:tcPr>
            <w:tcW w:w="900" w:type="dxa"/>
          </w:tcPr>
          <w:p w:rsidR="005A1B91" w:rsidRDefault="005A1B91" w:rsidP="005A1B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  <w:tc>
          <w:tcPr>
            <w:tcW w:w="6655" w:type="dxa"/>
          </w:tcPr>
          <w:p w:rsidR="005A1B91" w:rsidRDefault="005A1B91" w:rsidP="005A1B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</w:tr>
      <w:tr w:rsidR="005A1B91" w:rsidTr="005A1B91">
        <w:tc>
          <w:tcPr>
            <w:tcW w:w="1795" w:type="dxa"/>
          </w:tcPr>
          <w:p w:rsidR="005A1B91" w:rsidRDefault="005A1B91" w:rsidP="005A1B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Être surhumain</w:t>
            </w:r>
          </w:p>
        </w:tc>
        <w:tc>
          <w:tcPr>
            <w:tcW w:w="900" w:type="dxa"/>
          </w:tcPr>
          <w:p w:rsidR="005A1B91" w:rsidRDefault="005A1B91" w:rsidP="005A1B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  <w:tc>
          <w:tcPr>
            <w:tcW w:w="6655" w:type="dxa"/>
          </w:tcPr>
          <w:p w:rsidR="005A1B91" w:rsidRDefault="005A1B91" w:rsidP="005A1B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</w:tr>
      <w:tr w:rsidR="005A1B91" w:rsidTr="005A1B91">
        <w:tc>
          <w:tcPr>
            <w:tcW w:w="1795" w:type="dxa"/>
          </w:tcPr>
          <w:p w:rsidR="005A1B91" w:rsidRDefault="005A1B91" w:rsidP="005A1B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Mythe</w:t>
            </w:r>
          </w:p>
        </w:tc>
        <w:tc>
          <w:tcPr>
            <w:tcW w:w="900" w:type="dxa"/>
          </w:tcPr>
          <w:p w:rsidR="005A1B91" w:rsidRDefault="005A1B91" w:rsidP="005A1B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  <w:tc>
          <w:tcPr>
            <w:tcW w:w="6655" w:type="dxa"/>
          </w:tcPr>
          <w:p w:rsidR="005A1B91" w:rsidRDefault="005A1B91" w:rsidP="005A1B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</w:tr>
      <w:tr w:rsidR="005A1B91" w:rsidTr="005A1B91">
        <w:tc>
          <w:tcPr>
            <w:tcW w:w="1795" w:type="dxa"/>
          </w:tcPr>
          <w:p w:rsidR="005A1B91" w:rsidRDefault="005A1B91" w:rsidP="005A1B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Fête</w:t>
            </w:r>
          </w:p>
        </w:tc>
        <w:tc>
          <w:tcPr>
            <w:tcW w:w="900" w:type="dxa"/>
          </w:tcPr>
          <w:p w:rsidR="005A1B91" w:rsidRDefault="005A1B91" w:rsidP="005A1B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  <w:tc>
          <w:tcPr>
            <w:tcW w:w="6655" w:type="dxa"/>
          </w:tcPr>
          <w:p w:rsidR="005A1B91" w:rsidRDefault="005A1B91" w:rsidP="005A1B9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</w:tr>
    </w:tbl>
    <w:p w:rsidR="005A1B91" w:rsidRDefault="005A1B91" w:rsidP="005A1B91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5A1B91" w:rsidRDefault="005A1B91" w:rsidP="005A1B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En utilisant Internet, trouvez un nouvel exemple de chacun des concepts. Donner le lien de cet exemple et expliquez à quelle tradition religieuse il appartient.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530"/>
        <w:gridCol w:w="6025"/>
      </w:tblGrid>
      <w:tr w:rsidR="005A1B91" w:rsidTr="005A1B91">
        <w:tc>
          <w:tcPr>
            <w:tcW w:w="1795" w:type="dxa"/>
          </w:tcPr>
          <w:p w:rsidR="005A1B91" w:rsidRPr="005A1B91" w:rsidRDefault="005A1B91" w:rsidP="006063B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1B91">
              <w:rPr>
                <w:b/>
                <w:sz w:val="24"/>
                <w:szCs w:val="24"/>
              </w:rPr>
              <w:t>Concept</w:t>
            </w:r>
          </w:p>
        </w:tc>
        <w:tc>
          <w:tcPr>
            <w:tcW w:w="1530" w:type="dxa"/>
          </w:tcPr>
          <w:p w:rsidR="005A1B91" w:rsidRPr="005A1B91" w:rsidRDefault="005A1B91" w:rsidP="006063B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Lien vers l’exemple</w:t>
            </w:r>
          </w:p>
        </w:tc>
        <w:tc>
          <w:tcPr>
            <w:tcW w:w="6025" w:type="dxa"/>
          </w:tcPr>
          <w:p w:rsidR="005A1B91" w:rsidRPr="005A1B91" w:rsidRDefault="005A1B91" w:rsidP="006063B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1B91">
              <w:rPr>
                <w:b/>
                <w:sz w:val="24"/>
                <w:szCs w:val="24"/>
              </w:rPr>
              <w:t>Explication</w:t>
            </w:r>
          </w:p>
        </w:tc>
      </w:tr>
      <w:tr w:rsidR="005A1B91" w:rsidTr="005A1B91">
        <w:trPr>
          <w:trHeight w:val="350"/>
        </w:trPr>
        <w:tc>
          <w:tcPr>
            <w:tcW w:w="1795" w:type="dxa"/>
          </w:tcPr>
          <w:p w:rsidR="005A1B91" w:rsidRDefault="005A1B91" w:rsidP="006063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Croyance</w:t>
            </w:r>
          </w:p>
        </w:tc>
        <w:tc>
          <w:tcPr>
            <w:tcW w:w="1530" w:type="dxa"/>
          </w:tcPr>
          <w:p w:rsidR="005A1B91" w:rsidRDefault="005A1B91" w:rsidP="006063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  <w:tc>
          <w:tcPr>
            <w:tcW w:w="6025" w:type="dxa"/>
          </w:tcPr>
          <w:p w:rsidR="005A1B91" w:rsidRDefault="005A1B91" w:rsidP="006063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</w:tr>
      <w:tr w:rsidR="005A1B91" w:rsidTr="005A1B91">
        <w:tc>
          <w:tcPr>
            <w:tcW w:w="1795" w:type="dxa"/>
          </w:tcPr>
          <w:p w:rsidR="005A1B91" w:rsidRDefault="005A1B91" w:rsidP="006063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Être surhumain</w:t>
            </w:r>
          </w:p>
        </w:tc>
        <w:tc>
          <w:tcPr>
            <w:tcW w:w="1530" w:type="dxa"/>
          </w:tcPr>
          <w:p w:rsidR="005A1B91" w:rsidRDefault="005A1B91" w:rsidP="006063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  <w:tc>
          <w:tcPr>
            <w:tcW w:w="6025" w:type="dxa"/>
          </w:tcPr>
          <w:p w:rsidR="005A1B91" w:rsidRDefault="005A1B91" w:rsidP="006063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</w:tr>
      <w:tr w:rsidR="005A1B91" w:rsidTr="005A1B91">
        <w:tc>
          <w:tcPr>
            <w:tcW w:w="1795" w:type="dxa"/>
          </w:tcPr>
          <w:p w:rsidR="005A1B91" w:rsidRDefault="005A1B91" w:rsidP="006063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Mythe</w:t>
            </w:r>
          </w:p>
        </w:tc>
        <w:tc>
          <w:tcPr>
            <w:tcW w:w="1530" w:type="dxa"/>
          </w:tcPr>
          <w:p w:rsidR="005A1B91" w:rsidRDefault="005A1B91" w:rsidP="006063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  <w:tc>
          <w:tcPr>
            <w:tcW w:w="6025" w:type="dxa"/>
          </w:tcPr>
          <w:p w:rsidR="005A1B91" w:rsidRDefault="005A1B91" w:rsidP="006063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</w:tr>
      <w:tr w:rsidR="005A1B91" w:rsidTr="005A1B91">
        <w:tc>
          <w:tcPr>
            <w:tcW w:w="1795" w:type="dxa"/>
          </w:tcPr>
          <w:p w:rsidR="005A1B91" w:rsidRDefault="005A1B91" w:rsidP="006063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Fête</w:t>
            </w:r>
          </w:p>
        </w:tc>
        <w:tc>
          <w:tcPr>
            <w:tcW w:w="1530" w:type="dxa"/>
          </w:tcPr>
          <w:p w:rsidR="005A1B91" w:rsidRDefault="005A1B91" w:rsidP="006063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  <w:tc>
          <w:tcPr>
            <w:tcW w:w="6025" w:type="dxa"/>
          </w:tcPr>
          <w:p w:rsidR="005A1B91" w:rsidRDefault="005A1B91" w:rsidP="006063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</w:t>
            </w:r>
            <w:r w:rsidRPr="00C050F6">
              <w:rPr>
                <w:rFonts w:cs="Calibri"/>
                <w:color w:val="833C0B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]</w:t>
            </w:r>
          </w:p>
        </w:tc>
      </w:tr>
    </w:tbl>
    <w:p w:rsidR="005A1B91" w:rsidRDefault="005A1B91" w:rsidP="005A1B91">
      <w:pPr>
        <w:spacing w:after="0" w:line="360" w:lineRule="auto"/>
        <w:jc w:val="both"/>
        <w:rPr>
          <w:sz w:val="24"/>
          <w:szCs w:val="24"/>
        </w:rPr>
      </w:pPr>
    </w:p>
    <w:p w:rsidR="005A1B91" w:rsidRPr="00472DDE" w:rsidRDefault="005A1B91" w:rsidP="005A1B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Définissez les termes suivants </w:t>
      </w:r>
      <w:r w:rsidRPr="008A7E7B">
        <w:rPr>
          <w:b/>
          <w:sz w:val="24"/>
          <w:szCs w:val="24"/>
        </w:rPr>
        <w:t>dans vos propres mots</w:t>
      </w:r>
      <w:r w:rsidR="003A307F">
        <w:rPr>
          <w:sz w:val="24"/>
          <w:szCs w:val="24"/>
        </w:rPr>
        <w:t>. Vous pouvez vous inspirer de définitions sur Internet, mais vous devez formuler votre propre définition</w:t>
      </w:r>
      <w:r>
        <w:rPr>
          <w:sz w:val="24"/>
          <w:szCs w:val="24"/>
        </w:rPr>
        <w:t xml:space="preserve">. </w:t>
      </w:r>
      <w:r w:rsidR="00380660">
        <w:rPr>
          <w:sz w:val="24"/>
          <w:szCs w:val="24"/>
        </w:rPr>
        <w:t xml:space="preserve">Vous devez utiliser les exemples que vous avez regardés pour construire votre propre définition. </w:t>
      </w:r>
    </w:p>
    <w:p w:rsidR="005A1B91" w:rsidRPr="00E84DC9" w:rsidRDefault="005A1B91" w:rsidP="005A1B91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 w:rsidR="00380660">
        <w:rPr>
          <w:sz w:val="24"/>
          <w:szCs w:val="24"/>
        </w:rPr>
        <w:t>Croyance</w:t>
      </w:r>
      <w:r>
        <w:rPr>
          <w:sz w:val="24"/>
          <w:szCs w:val="24"/>
        </w:rPr>
        <w:t xml:space="preserve"> : </w:t>
      </w:r>
      <w:r w:rsidRPr="00E84DC9">
        <w:rPr>
          <w:i/>
          <w:sz w:val="24"/>
          <w:szCs w:val="24"/>
        </w:rPr>
        <w:t>[</w:t>
      </w:r>
      <w:r w:rsidRPr="00C050F6">
        <w:rPr>
          <w:i/>
          <w:color w:val="833C0B"/>
          <w:sz w:val="24"/>
          <w:szCs w:val="24"/>
        </w:rPr>
        <w:t>*</w:t>
      </w:r>
      <w:r w:rsidRPr="00E84DC9">
        <w:rPr>
          <w:i/>
          <w:sz w:val="24"/>
          <w:szCs w:val="24"/>
        </w:rPr>
        <w:t>]</w:t>
      </w:r>
    </w:p>
    <w:p w:rsidR="005A1B91" w:rsidRPr="00E84DC9" w:rsidRDefault="005A1B91" w:rsidP="005A1B91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b) </w:t>
      </w:r>
      <w:r w:rsidR="00380660">
        <w:rPr>
          <w:sz w:val="24"/>
          <w:szCs w:val="24"/>
        </w:rPr>
        <w:t>Être surhumain</w:t>
      </w:r>
      <w:r>
        <w:rPr>
          <w:sz w:val="24"/>
          <w:szCs w:val="24"/>
        </w:rPr>
        <w:t xml:space="preserve"> : </w:t>
      </w:r>
      <w:r w:rsidRPr="00E84DC9">
        <w:rPr>
          <w:i/>
          <w:sz w:val="24"/>
          <w:szCs w:val="24"/>
        </w:rPr>
        <w:t>[</w:t>
      </w:r>
      <w:r w:rsidRPr="00C050F6">
        <w:rPr>
          <w:i/>
          <w:color w:val="833C0B"/>
          <w:sz w:val="24"/>
          <w:szCs w:val="24"/>
        </w:rPr>
        <w:t>*</w:t>
      </w:r>
      <w:r w:rsidRPr="00E84DC9">
        <w:rPr>
          <w:i/>
          <w:sz w:val="24"/>
          <w:szCs w:val="24"/>
        </w:rPr>
        <w:t>]</w:t>
      </w:r>
    </w:p>
    <w:p w:rsidR="005A1B91" w:rsidRPr="00E84DC9" w:rsidRDefault="005A1B91" w:rsidP="005A1B91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c) </w:t>
      </w:r>
      <w:r w:rsidR="00380660">
        <w:rPr>
          <w:sz w:val="24"/>
          <w:szCs w:val="24"/>
        </w:rPr>
        <w:t>Mythe</w:t>
      </w:r>
      <w:r>
        <w:rPr>
          <w:sz w:val="24"/>
          <w:szCs w:val="24"/>
        </w:rPr>
        <w:t xml:space="preserve"> : </w:t>
      </w:r>
      <w:r w:rsidRPr="00E84DC9">
        <w:rPr>
          <w:i/>
          <w:sz w:val="24"/>
          <w:szCs w:val="24"/>
        </w:rPr>
        <w:t>[</w:t>
      </w:r>
      <w:r w:rsidRPr="00C050F6">
        <w:rPr>
          <w:i/>
          <w:color w:val="833C0B"/>
          <w:sz w:val="24"/>
          <w:szCs w:val="24"/>
        </w:rPr>
        <w:t>*</w:t>
      </w:r>
      <w:r w:rsidRPr="00E84DC9">
        <w:rPr>
          <w:i/>
          <w:sz w:val="24"/>
          <w:szCs w:val="24"/>
        </w:rPr>
        <w:t>]</w:t>
      </w:r>
    </w:p>
    <w:p w:rsidR="005A1B91" w:rsidRPr="00E84DC9" w:rsidRDefault="005A1B91" w:rsidP="005A1B91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d) </w:t>
      </w:r>
      <w:r w:rsidR="00380660">
        <w:rPr>
          <w:sz w:val="24"/>
          <w:szCs w:val="24"/>
        </w:rPr>
        <w:t>Fête</w:t>
      </w:r>
      <w:r>
        <w:rPr>
          <w:sz w:val="24"/>
          <w:szCs w:val="24"/>
        </w:rPr>
        <w:t xml:space="preserve"> : </w:t>
      </w:r>
      <w:r w:rsidRPr="00E84DC9">
        <w:rPr>
          <w:i/>
          <w:sz w:val="24"/>
          <w:szCs w:val="24"/>
        </w:rPr>
        <w:t>[</w:t>
      </w:r>
      <w:r w:rsidRPr="00C050F6">
        <w:rPr>
          <w:i/>
          <w:color w:val="833C0B"/>
          <w:sz w:val="24"/>
          <w:szCs w:val="24"/>
        </w:rPr>
        <w:t>*</w:t>
      </w:r>
      <w:r w:rsidRPr="00E84DC9">
        <w:rPr>
          <w:i/>
          <w:sz w:val="24"/>
          <w:szCs w:val="24"/>
        </w:rPr>
        <w:t>]</w:t>
      </w:r>
    </w:p>
    <w:p w:rsidR="00AB6AD4" w:rsidRDefault="00AB6AD4"/>
    <w:sectPr w:rsidR="00AB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120F0"/>
    <w:multiLevelType w:val="hybridMultilevel"/>
    <w:tmpl w:val="E0A82D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A5"/>
    <w:rsid w:val="00145092"/>
    <w:rsid w:val="00217824"/>
    <w:rsid w:val="00231296"/>
    <w:rsid w:val="00233586"/>
    <w:rsid w:val="0024493D"/>
    <w:rsid w:val="00267E6F"/>
    <w:rsid w:val="0027492B"/>
    <w:rsid w:val="002838B5"/>
    <w:rsid w:val="00285C94"/>
    <w:rsid w:val="002A36F1"/>
    <w:rsid w:val="002A403E"/>
    <w:rsid w:val="002A59BC"/>
    <w:rsid w:val="002B1500"/>
    <w:rsid w:val="002E10AF"/>
    <w:rsid w:val="002F7106"/>
    <w:rsid w:val="00377D2E"/>
    <w:rsid w:val="00380660"/>
    <w:rsid w:val="003A307F"/>
    <w:rsid w:val="003A70C5"/>
    <w:rsid w:val="003E2E7D"/>
    <w:rsid w:val="00401C1E"/>
    <w:rsid w:val="0044769F"/>
    <w:rsid w:val="004A2B54"/>
    <w:rsid w:val="004B212C"/>
    <w:rsid w:val="004F54A5"/>
    <w:rsid w:val="0050713A"/>
    <w:rsid w:val="00512A37"/>
    <w:rsid w:val="00536F35"/>
    <w:rsid w:val="005A1674"/>
    <w:rsid w:val="005A1B91"/>
    <w:rsid w:val="005A6765"/>
    <w:rsid w:val="005B105D"/>
    <w:rsid w:val="005B2085"/>
    <w:rsid w:val="00653429"/>
    <w:rsid w:val="006669A7"/>
    <w:rsid w:val="00692C3D"/>
    <w:rsid w:val="006E4908"/>
    <w:rsid w:val="00701403"/>
    <w:rsid w:val="00722766"/>
    <w:rsid w:val="00814792"/>
    <w:rsid w:val="00891025"/>
    <w:rsid w:val="008946CF"/>
    <w:rsid w:val="008A312B"/>
    <w:rsid w:val="00957DA1"/>
    <w:rsid w:val="009907B2"/>
    <w:rsid w:val="009913E2"/>
    <w:rsid w:val="009A6EDF"/>
    <w:rsid w:val="00A23A15"/>
    <w:rsid w:val="00A323A0"/>
    <w:rsid w:val="00A7026A"/>
    <w:rsid w:val="00A84A0C"/>
    <w:rsid w:val="00A85EF6"/>
    <w:rsid w:val="00AA2B7A"/>
    <w:rsid w:val="00AB6AD4"/>
    <w:rsid w:val="00AE68CC"/>
    <w:rsid w:val="00AF16AF"/>
    <w:rsid w:val="00B355F1"/>
    <w:rsid w:val="00B4017C"/>
    <w:rsid w:val="00B41B9A"/>
    <w:rsid w:val="00BA2DB8"/>
    <w:rsid w:val="00C3397E"/>
    <w:rsid w:val="00C76C20"/>
    <w:rsid w:val="00CF702C"/>
    <w:rsid w:val="00E11255"/>
    <w:rsid w:val="00E16EF4"/>
    <w:rsid w:val="00E86ECA"/>
    <w:rsid w:val="00E932E1"/>
    <w:rsid w:val="00F555C5"/>
    <w:rsid w:val="00F745CC"/>
    <w:rsid w:val="00FA35C1"/>
    <w:rsid w:val="00FA7AA9"/>
    <w:rsid w:val="00FC1CBD"/>
    <w:rsid w:val="00FC7669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FB193-64E9-43AC-95C0-10C0C215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91"/>
    <w:pPr>
      <w:spacing w:after="200" w:line="276" w:lineRule="auto"/>
    </w:pPr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91"/>
    <w:pPr>
      <w:ind w:left="720"/>
      <w:contextualSpacing/>
    </w:pPr>
  </w:style>
  <w:style w:type="table" w:styleId="TableGrid">
    <w:name w:val="Table Grid"/>
    <w:basedOn w:val="TableNormal"/>
    <w:uiPriority w:val="39"/>
    <w:rsid w:val="005A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super_ti_jean@hotmail.com</dc:creator>
  <cp:keywords/>
  <dc:description/>
  <cp:lastModifiedBy>super_ti_jean@hotmail.com</cp:lastModifiedBy>
  <cp:revision>4</cp:revision>
  <dcterms:created xsi:type="dcterms:W3CDTF">2014-11-11T10:13:00Z</dcterms:created>
  <dcterms:modified xsi:type="dcterms:W3CDTF">2014-11-13T06:53:00Z</dcterms:modified>
</cp:coreProperties>
</file>